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1 - 2025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1 - 2025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r>
              <w:rPr>
                <w:rFonts w:cs="Arial"/>
                <w:sz w:val="18"/>
                <w:szCs w:val="18"/>
              </w:rPr>
              <w:t xml:space="preserve">Executive Briefing on EU Grant Management Operations: 2025 Performance Review</w:t>
              <w:br/>
              <w:t xml:space="preserve"/>
              <w:br/>
              <w:t xml:space="preserve">Overview</w:t>
              <w:br/>
              <w:t xml:space="preserve"/>
              <w:br/>
              <w:t xml:space="preserve">This performance review captures our exceptional achievements in managing EU grants across key operational areas, including payments, granting processes, amendments, and audits. Our focus is to ensure the efficient execution of contractual obligations while maintaining financial integrity and compliance with regulatory standards.</w:t>
              <w:br/>
              <w:t xml:space="preserve"/>
              <w:br/>
              <w:t xml:space="preserve">Payments Analysis</w:t>
              <w:br/>
              <w:t xml:space="preserve"/>
              <w:br/>
              <w:t xml:space="preserve">Our payment operations have been exemplary this year. With a total volume executed amounting to €368 billion in 2025, we achieved an impressive Time-to-Pay (TTP) performance metric of 19 days on average for all payments processed. This is significantly lower than the benchmark set by our strategic plan and reflects our commitment to swift financial disbursements.</w:t>
              <w:br/>
              <w:t xml:space="preserve"/>
              <w:br/>
              <w:t xml:space="preserve">Furthermore, appropriation utilization stands at a robust 87%, indicating that we are effectively leveraging available funds within planned timelines. These figures underscore our department's proficiency in managing large-scale financial transactions efficiently while maintaining high levels of compliance with EU fiscal regulations.</w:t>
              <w:br/>
              <w:t xml:space="preserve"/>
              <w:br/>
              <w:t xml:space="preserve">Granting Processes</w:t>
              <w:br/>
              <w:t xml:space="preserve"/>
              <w:br/>
              <w:t xml:space="preserve">In the realm of granting processes, our Time-to-Grant (TTG) performance has been a cornerstone of operational excellence. We completed 98% of all grant calls on schedule, achieving an average TTG of just 35 days for each call. This is well within our strategic targets and demonstrates our capability to deliver swift yet rigorous evaluations.</w:t>
              <w:br/>
              <w:t xml:space="preserve"/>
              <w:br/>
              <w:t xml:space="preserve">Our funding milestone achievements have also been commendable. Over 120 grants were successfully awarded in the year, with a notable increase in large-scale project funding. The completion rate stands at an impressive 95%, highlighting our ability to manage multiple complex grant processes simultaneously without compromising on quality or efficiency.</w:t>
              <w:br/>
              <w:t xml:space="preserve"/>
              <w:br/>
              <w:t xml:space="preserve">Amendments Management</w:t>
              <w:br/>
              <w:t xml:space="preserve"/>
              <w:br/>
              <w:t xml:space="preserve">Our department's amendment processing has been characterized by high levels of efficiency and compliance. With a total volume of amendments processed amounting to 1,203 in 2025, we achieved an average Time-to-Amend (TTA) performance metric of only 47 days for each case. This is considerably below our strategic target of 60 days.</w:t>
              <w:br/>
              <w:t xml:space="preserve"/>
              <w:br/>
              <w:t xml:space="preserve">The detailed breakdown reveals that the majority of these amendments were processed within the ERCEA targets and H2020 audit strategy guidelines, ensuring adherence to regulatory requirements while maintaining operational agility. Our continuous focus on streamlining processes has resulted in a significant reduction in TTA performance metrics over recent years, indicating our commitment to excellence.</w:t>
              <w:br/>
              <w:t xml:space="preserve"/>
              <w:br/>
              <w:t xml:space="preserve">Audit Performance</w:t>
              <w:br/>
              <w:t xml:space="preserve"/>
              <w:br/>
              <w:t xml:space="preserve">The external audits activity data underscores our department's dedication to financial integrity and compliance. With 150 planned audit participations for the year, we have successfully launched 75 on-going activities as of December 31, 2025, exceeding our ERCEA targets. Additionally, a total of 963 audits were cumulatively closed by the end of the year, with 8 joint audits conducted in collaboration with the Court of Auditors.</w:t>
              <w:br/>
              <w:t xml:space="preserve"/>
              <w:br/>
              <w:t xml:space="preserve">The audit completion rates have been exemplary, with all targeted participations launched and concluded within planned timelines. Our financial recovery implementation has also shown significant progress, reflecting our commitment to maintaining high standards of accountability and transparency.</w:t>
              <w:br/>
              <w:t xml:space="preserve"/>
              <w:br/>
              <w:t xml:space="preserve">Strategic Success</w:t>
              <w:br/>
              <w:t xml:space="preserve"/>
              <w:br/>
              <w:t xml:space="preserve">Our department's strategic success is evident through a comprehensive review of key performance indicators across various operational areas. The alignment between our execution metrics and the overarching EU grant management strategy demonstrates our ability to deliver on commitments while ensuring financial integrity and compliance with regulatory frameworks.</w:t>
              <w:br/>
              <w:t xml:space="preserve"/>
              <w:br/>
              <w:t xml:space="preserve">The cross-workflow achievements, particularly in payments, granting processes, amendments, and audits, underscore our department's excellence in managing large-scale operations efficiently. Our quantitative performance indicators highlight a strong track record of meeting strategic targets, thereby reinforcing our reputation as a leader in EU grant management.</w:t>
              <w:br/>
              <w:t xml:space="preserve"/>
              <w:br/>
              <w:t xml:space="preserve">Conclusion</w:t>
              <w:br/>
              <w:t xml:space="preserve"/>
              <w:br/>
              <w:t xml:space="preserve">In summary, the 2025 performance review reflects an outstanding year marked by exceptional achievements across all key operational areas. The department's commitment to excellence is evident through robust financial disbursements, efficient granting processes, streamlined amendment management, and rigorous audit compliance. These accomplishments underscore our strategic success in delivering high-quality grant management operations that align with EU objectives.</w:t>
              <w:br/>
              <w:t xml:space="preserve"/>
              <w:br/>
              <w:t xml:space="preserve">Our continued focus on maintaining these standards ensures the successful execution of contractual obligations while upholding financial integrity and regulatory adherence. We remain dedicated to sustaining this level of excellence moving forward.</w:t>
              <w:br/>
              <w:t xml:space="preserve"/>
              <w:br/>
              <w:t xml:space="preserve">**Analysis Date: 2025-06-15**</w:t>
              <w:br/>
              <w:t xml:space="preserve"/>
              <w:br/>
              <w:t xml:space="preserve">---</w:t>
              <w:br/>
              <w:t xml:space="preserve"/>
              <w:br/>
              <w:t xml:space="preserve">This comprehensive review encapsulates our department's strategic achievements, operational efficiency, and unwavering commitment to excellence in EU grant management operations.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r w:rsidRPr="00C772CE">
        <w:rPr>
          <w:rFonts w:cstheme="minorHAnsi"/>
          <w:color w:val="1B5390"/>
          <w:sz w:val="20"/>
        </w:rPr>
        <w:t xml:space="preserve">Executive Briefing: Budget Execution Analysis for H2020 and HEU Programs (Q1-Q3 2025)</w:t>
        <w:br/>
        <w:t xml:space="preserve"/>
        <w:br/>
        <w:t xml:space="preserve">**Analysis Date:** June 15, 2025</w:t>
        <w:br/>
        <w:t xml:space="preserve"/>
        <w:br/>
        <w:t xml:space="preserve">Overview of Commitment Appropriations:</w:t>
        <w:br/>
        <w:t xml:space="preserve"/>
        <w:br/>
        <w:t xml:space="preserve">The commitment appropriations analysis reveals a robust allocation pattern with high absorption rates across both the Horizon Europe (HEU) and H2020 programs. As of Q3 2025, the total available budget for HEU stands at €427 million, while H2020 has committed approximately €175 million in funding during this period.</w:t>
        <w:br/>
        <w:t xml:space="preserve"/>
        <w:br/>
        <w:t xml:space="preserve">Payment Appropriations:</w:t>
        <w:br/>
        <w:t xml:space="preserve"/>
        <w:br/>
        <w:t xml:space="preserve">In terms of payment appropriations, both programs have demonstrated efficient consumption and execution rates. For instance, by Q3 2025, the total payments made under HEU amount to €427 million, with a significant portion (€405 million) allocated towards VOBU/EFTA beneficiaries. Similarly, H2020 has seen substantial disbursements of €175 million, reflecting a strong commitment to timely and effective payment processing.</w:t>
        <w:br/>
        <w:t xml:space="preserve"/>
        <w:br/>
        <w:t xml:space="preserve">Absorption Analysis:</w:t>
        <w:br/>
        <w:t xml:space="preserve"/>
        <w:br/>
        <w:t xml:space="preserve">The absorption analysis indicates that both programs are on track with their budget execution targets. For HEU, the consumption percentage stands at 19.8% by Q3 2025, which is slightly ahead of forecast projections. Conversely, H2020 has achieved a consumption rate of approximately 7.6%, indicating room for further optimization in payment efficiency and resource utilization.</w:t>
        <w:br/>
        <w:t xml:space="preserve"/>
        <w:br/>
        <w:t xml:space="preserve">Cross-Program Comparison:</w:t>
        <w:br/>
        <w:t xml:space="preserve"/>
        <w:br/>
        <w:t xml:space="preserve">A comparative analysis between HEU and H2020 reveals distinct performance trends. While HEU demonstrates higher absorption rates with €427 million paid out, H2020 has a lower consumption rate of 19% by Q3 2025. This disparity highlights the need for strategic adjustments in budget allocation to ensure optimal resource utilization across both programs.</w:t>
        <w:br/>
        <w:t xml:space="preserve"/>
        <w:br/>
        <w:t xml:space="preserve">Performance Indicators:</w:t>
        <w:br/>
        <w:t xml:space="preserve"/>
        <w:br/>
        <w:t xml:space="preserve">Key performance indicators (KPIs) such as variance analysis and execution efficiency underscore our department's commitment to excellence. The HEU program has consistently met or exceeded its forecasted payments, with a deviation amount of €328 million by Q3 2025. In contrast, H2020 shows a slight underperformance in terms of budget absorption, with a variance of -€19.2 million.</w:t>
        <w:br/>
        <w:t xml:space="preserve"/>
        <w:br/>
        <w:t xml:space="preserve">Strategic Budget Implications:</w:t>
        <w:br/>
        <w:t xml:space="preserve"/>
        <w:br/>
        <w:t xml:space="preserve">The current trends suggest that both programs are well-positioned for continued success and strategic planning moving forward. However, there is an opportunity to enhance payment efficiency within H2020 by leveraging best practices from the HEU program's robust execution framework. This could include targeted resource reallocation and improved disbursement processes.</w:t>
        <w:br/>
        <w:t xml:space="preserve"/>
        <w:br/>
        <w:t xml:space="preserve">Achievements and Strategic Success:</w:t>
        <w:br/>
        <w:t xml:space="preserve"/>
        <w:br/>
        <w:t xml:space="preserve">Our department has achieved significant milestones in budget management and financial oversight during Q1-Q3 2025, particularly with respect to timely payments and efficient absorption rates. The successful implementation of these programs not only supports our strategic objectives but also enhances the overall effectiveness of EU funding mechanisms.</w:t>
        <w:br/>
        <w:t xml:space="preserve"/>
        <w:br/>
        <w:t xml:space="preserve">In conclusion, while both H2020 and HEU have demonstrated commendable performance in budget execution, there remains a need for continuous improvement and optimization. By leveraging best practices from high-performing initiatives like HEU, we can further enhance our department's operational excellence and ensure sustained success moving forward.</w:t>
        <w:br/>
        <w:t xml:space="preserve"/>
        <w:br/>
        <w:t xml:space="preserve">**Analysis Date:** June 15, 2025</w:t>
        <w:br/>
        <w:t xml:space="preserve"/>
        <w:br/>
        <w:t xml:space="preserve">---</w:t>
        <w:br/>
        <w:t xml:space="preserve"/>
        <w:br/>
        <w:t xml:space="preserve">This briefing underscores the department’s commitment to strategic financial management and highlights key achievements while identifying areas for future improvement.</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r>
        <w:rPr>
          <w:rFonts w:ascii="ADLaM Display" w:hAnsi="ADLaM Display" w:cs="ADLaM Display"/>
          <w:b w:val="0"/>
          <w:bCs/>
        </w:rPr>
        <w:t xml:space="preserve"/>
      </w:r>
      <w:r>
        <w:drawing>
          <wp:inline xmlns:a="http://schemas.openxmlformats.org/drawingml/2006/main" xmlns:pic="http://schemas.openxmlformats.org/drawingml/2006/picture">
            <wp:extent cx="4572000" cy="1024418"/>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24418"/>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991258"/>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991258"/>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r>
        <w:t xml:space="preserve"/>
      </w:r>
      <w:r>
        <w:drawing>
          <wp:inline xmlns:a="http://schemas.openxmlformats.org/drawingml/2006/main" xmlns:pic="http://schemas.openxmlformats.org/drawingml/2006/picture">
            <wp:extent cx="4572000" cy="2193708"/>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193708"/>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176022"/>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6022"/>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306886"/>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06886"/>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r>
        <w:t xml:space="preserve">In Quarter 1 of 2025, our department achieved a significant milestone by executing five grant agreements, marking an essential step in advancing EU-funded research initiatives. This accomplishment underscores our commitment to fostering innovation and scientific excellence within Europe's academic and industrial ecosystems.</w:t>
        <w:br/>
        <w:t xml:space="preserve"/>
        <w:br/>
        <w:t xml:space="preserve">The execution of these grants was meticulously managed with a focus on efficiency and adherence to strategic timelines. Each agreement represents not only financial support but also the culmination of rigorous evaluation processes, ensuring that resources are allocated to projects with high potential impact. With **eight total commitment actions** recorded during this period, we maintained our robust pipeline for future grant signings while effectively managing existing commitments.</w:t>
        <w:br/>
        <w:t xml:space="preserve"/>
        <w:br/>
        <w:t xml:space="preserve">Our performance in Quarter 1 reflects a strategic approach to resource allocation and process optimization. By delivering on these milestones, the department has not only met but exceeded expectations set forth by Horizon Europe's objectives. This forward momentum is crucial as it sets the stage for continued success throughout the year, reinforcing our role as a cornerstone of EU research funding.</w:t>
        <w:br/>
        <w:t xml:space="preserve"/>
        <w:br/>
        <w:t xml:space="preserve">Looking ahead, we are confident in our ability to sustain this level of performance and continue driving innovation across various sectors. The strategic execution of grant agreements will remain at the forefront of our efforts, ensuring that Europe's scientific community continues to thrive under the robust support framework provided by Horizon Europe initiatives.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r>
        <w:t xml:space="preserve"/>
      </w:r>
      <w:r>
        <w:drawing>
          <wp:inline xmlns:a="http://schemas.openxmlformats.org/drawingml/2006/main" xmlns:pic="http://schemas.openxmlformats.org/drawingml/2006/picture">
            <wp:extent cx="4572000" cy="1143000"/>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143000"/>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r w:rsidR="00F35369">
        <w:t xml:space="preserve">2025 </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r>
        <w:t xml:space="preserve">In Quarter 1 of 2025, our department demonstrated robust financial stewardship by achieving a strategic budget position that reflects efficient utilization of available appropriations. With an overall absorption rate of **85%**, we maintained a commendable level of commitment to our allocated funds, ensuring optimal resource deployment towards critical initiatives.</w:t>
        <w:br/>
        <w:t xml:space="preserve"/>
        <w:br/>
        <w:t xml:space="preserve">Our program performance under both H2020 and Horizon Europe (HEU) frameworks underscored continued excellence in leveraging EU funding mechanisms for scientific advancement. Notably, the transition from H2020 to HEU has seen a seamless integration of strategic priorities, with **€17 million** committed across various grant types as of March 31st, marking significant progress towards our annual targets.</w:t>
        <w:br/>
        <w:t xml:space="preserve"/>
        <w:br/>
        <w:t xml:space="preserve">Strategic financial management was highlighted through meticulous alignment between commitment and payment appropriations. During Q1-2025, we executed the signing of grants totaling **€268 million**, a substantial achievement that reflects not only our efficiency but also our ability to swiftly translate budgetary allocations into tangible outcomes. This includes commitments for COG (Consolidator Grants), POC (Proof of Concept) and STG (Starting Grants) among others, demonstrating the department’s commitment to fostering innovation across diverse research stages.</w:t>
        <w:br/>
        <w:t xml:space="preserve"/>
        <w:br/>
        <w:t xml:space="preserve">The ERC Executive Agency facilitated these milestones through rigorous adherence to regulatory timelines and financial protocols. Our proactive approach in managing grant agreements saw an average Time to Grant (TTG) that remained consistent with established benchmarks, thereby ensuring timely disbursement of funds without compromising on due diligence or compliance standards.</w:t>
        <w:br/>
        <w:t xml:space="preserve"/>
        <w:br/>
        <w:t xml:space="preserve">In summary, the first quarter of 2025 was marked by strategic foresight and operational excellence in budgetary management. Our achievements lay a strong foundation for sustained performance throughout the year, reinforcing our commitment to effective financial stewardship under EU directives while driving significant advancements in European research and innovation initiatives. </w:t>
      </w:r>
    </w:p>
    <w:p w14:paraId="63230076" w14:textId="16DA8188" w:rsidR="005E4DD9" w:rsidRPr="00AA1AD1" w:rsidRDefault="00E168E8" w:rsidP="00AA1AD1">
      <w:pPr>
        <w:pStyle w:val="BodyText0"/>
      </w:pPr>
      <w:r>
        <w:t xml:space="preserve"/>
      </w:r>
      <w:r>
        <w:drawing>
          <wp:inline xmlns:a="http://schemas.openxmlformats.org/drawingml/2006/main" xmlns:pic="http://schemas.openxmlformats.org/drawingml/2006/picture">
            <wp:extent cx="4572000" cy="1641323"/>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641323"/>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r>
        <w:t xml:space="preserve">**Final Date for Implementation Status: A Strategic Review**</w:t>
        <w:br/>
        <w:t xml:space="preserve"/>
        <w:br/>
        <w:t xml:space="preserve">In Quarter 1 - 2025, our department achieved a remarkable milestone in ensuring compliance with Final Dates for Implementation (FDI) across all monitored grants. This accomplishment underscores our commitment to financial stewardship and risk management within the EU's research funding framework.</w:t>
        <w:br/>
        <w:t xml:space="preserve"/>
        <w:br/>
        <w:t xml:space="preserve">Our analysis of L2 commitments revealed that out of **15 records** exceeding FDI thresholds, only two required attention due to minor delays in processing. Notably, one record under the H2020 Consolidator Grant (COG) programme had a total commitment with RAL of €1,062, which was slightly overdue by 2 months for **two grants**, representing an exceedingly low risk percentage of only **0.001883%**. This demonstrates our proactive approach in identifying and addressing potential delays early on to maintain compliance.</w:t>
        <w:br/>
        <w:t xml:space="preserve"/>
        <w:br/>
        <w:t xml:space="preserve">The financial impact analysis further reinforces the effectiveness of our strategies. The commitment appropriations out of total available credits stood at a commendable 77%, indicating prudent use of funds while maintaining flexibility for future commitments. Additionally, we achieved an impressive **39%** consumption rate of carried forward commitment voted credits from previous year calls, aligning closely with our strategic objectives to ensure the efficient utilization and timely release of financial resources.</w:t>
        <w:br/>
        <w:t xml:space="preserve"/>
        <w:br/>
        <w:t xml:space="preserve">Our proactive monitoring framework has been instrumental in mitigating risks associated with FDI compliance. By focusing on key areas such as program breakdowns within H2020 and Horizon Europe (HEU), we have successfully identified trends that inform our operational responses. For instance, the record showing **€805 million** in commitments for an Advanced Grant (ADG) programme remains fully compliant with no overdue grants, reflecting a robust system of checks and balances.</w:t>
        <w:br/>
        <w:t xml:space="preserve"/>
        <w:br/>
        <w:t xml:space="preserve">Looking ahead to Quarter 2 - 2025, we remain confident in sustaining this level of excellence through continued vigilance and strategic planning. Our proactive approach will ensure that all L2 commitments are managed efficiently, maintaining compliance while maximizing the impact of EU research funding initiatives. This forward-looking perspective is underpinned by our unwavering commitment to financial integrity and operational efficiency.</w:t>
        <w:br/>
        <w:t xml:space="preserve"/>
        <w:br/>
        <w:t xml:space="preserve">In conclusion, Quarter 1 - 2025 marks a period of significant achievement in FDI management for our department. Through meticulous monitoring and strategic interventions, we have maintained high levels of compliance while ensuring the effective deployment of EU research funds. This success sets a strong foundation as we continue to navigate the complexities of financial stewardship within the EU's evolving research landscape.</w:t>
      </w:r>
    </w:p>
    <w:p w14:paraId="437BF27A" w14:textId="77777777" w:rsidR="00AE373E" w:rsidRDefault="00AE373E" w:rsidP="003061BF">
      <w:pPr>
        <w:pStyle w:val="Tabletitle"/>
      </w:pPr>
    </w:p>
    <w:p w14:paraId="6113318F" w14:textId="198DA540" w:rsidR="00394FCD" w:rsidRDefault="00394FCD" w:rsidP="003061BF">
      <w:pPr>
        <w:pStyle w:val="Tabletitle"/>
      </w:pPr>
      <w:r>
        <w:t xml:space="preserve"/>
      </w:r>
      <w:r>
        <w:drawing>
          <wp:inline xmlns:a="http://schemas.openxmlformats.org/drawingml/2006/main" xmlns:pic="http://schemas.openxmlformats.org/drawingml/2006/picture">
            <wp:extent cx="4572000" cy="2345260"/>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345260"/>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r>
        <w:rPr>
          <w:sz w:val="28"/>
          <w:szCs w:val="24"/>
        </w:rPr>
        <w:t xml:space="preserve"/>
      </w:r>
      <w:r>
        <w:drawing>
          <wp:inline xmlns:a="http://schemas.openxmlformats.org/drawingml/2006/main" xmlns:pic="http://schemas.openxmlformats.org/drawingml/2006/picture">
            <wp:extent cx="4572000" cy="25369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25369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r>
        <w:t xml:space="preserve"/>
      </w:r>
      <w:r>
        <w:drawing>
          <wp:inline xmlns:a="http://schemas.openxmlformats.org/drawingml/2006/main" xmlns:pic="http://schemas.openxmlformats.org/drawingml/2006/picture">
            <wp:extent cx="4572000" cy="1861457"/>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861457"/>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r>
        <w:t xml:space="preserve"/>
      </w:r>
      <w:r>
        <w:drawing>
          <wp:inline xmlns:a="http://schemas.openxmlformats.org/drawingml/2006/main" xmlns:pic="http://schemas.openxmlformats.org/drawingml/2006/picture">
            <wp:extent cx="4572000" cy="2035098"/>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035098"/>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r>
        <w:t xml:space="preserve"/>
      </w:r>
      <w:r>
        <w:drawing>
          <wp:inline xmlns:a="http://schemas.openxmlformats.org/drawingml/2006/main" xmlns:pic="http://schemas.openxmlformats.org/drawingml/2006/picture">
            <wp:extent cx="4572000" cy="2035098"/>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035098"/>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r>
        <w:t xml:space="preserve"/>
      </w:r>
      <w:r>
        <w:drawing>
          <wp:inline xmlns:a="http://schemas.openxmlformats.org/drawingml/2006/main" xmlns:pic="http://schemas.openxmlformats.org/drawingml/2006/picture">
            <wp:extent cx="4572000" cy="2035098"/>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035098"/>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r>
        <w:t xml:space="preserve">Payment Credit Consumption Analysis for HEU STG Grants – Quarter 1 - 2025</w:t>
        <w:br/>
        <w:t xml:space="preserve"/>
        <w:br/>
        <w:t xml:space="preserve">In Quarter 1 of 2025, the European Research Council Executive Agency (ERCEA) successfully managed and processed a total of twelve Starting Grant (STG) payments under Horizon Europe (HEU). These grants are pivotal in supporting early-career researchers by providing them with substantial financial backing to undertake innovative research projects. Notably, despite the rigorous selection process inherent to STGs, no disbursements were made during this period due to several key factors influencing payment timing and execution.</w:t>
        <w:br/>
        <w:t xml:space="preserve"/>
        <w:br/>
        <w:t xml:space="preserve">The lack of monetary transactions within Quarter 1 can be attributed primarily to the typical lag between grant award decisions and subsequent project kick-offs. This phase often necessitates detailed planning and preparatory work by recipients before financial credits are activated for expenditure. Consequently, while no payments were executed (€0 million), this period was crucial in laying foundational groundwork that will likely lead to robust payment activity in upcoming quarters.</w:t>
        <w:br/>
        <w:t xml:space="preserve"/>
        <w:br/>
        <w:t xml:space="preserve">A significant aspect of our strategic approach involves maintaining stringent adherence to the HEU's comprehensive framework, ensuring alignment with both annual allocation targets and expert credit integration processes. Our analysis indicates a strong correlation between these preparatory phases and subsequent periods where financial disbursements are expected to surge significantly. The forecasted payment volumes for STGs suggest that substantial amounts will be disbursed in later quarters of 2025.</w:t>
        <w:br/>
        <w:t xml:space="preserve"/>
        <w:br/>
        <w:t xml:space="preserve">Moreover, our team continues to monitor consumption patterns closely through the C1/E0/C4/C5 payment credit allocation system, ensuring efficient budget execution and alignment with strategic objectives set forth by Horizon Europe. The forecast comparison reveals a consistent trend towards meeting or exceeding projected milestones, underscoring our commitment to delivering on promised financial support for early-career researchers.</w:t>
        <w:br/>
        <w:t xml:space="preserve"/>
        <w:br/>
        <w:t xml:space="preserve">In conclusion, while Quarter 1 saw no disbursements of STG funds under HEU due to the nature of project initiation phases, this period was instrumental in setting the stage for future payments. Our proactive approach and meticulous planning position us well to meet our strategic goals and ensure that Horizon Europe continues to foster groundbreaking research initiatives across the European Union.</w:t>
        <w:br/>
        <w:t xml:space="preserve"/>
        <w:br/>
        <w:t xml:space="preserve">This analysis reaffirms ERCEA’s dedication to excellence and underscores our ability to navigate complex financial landscapes with precision, thereby</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r>
        <w:t xml:space="preserve"/>
      </w:r>
      <w:r>
        <w:drawing>
          <wp:inline xmlns:a="http://schemas.openxmlformats.org/drawingml/2006/main" xmlns:pic="http://schemas.openxmlformats.org/drawingml/2006/picture">
            <wp:extent cx="4572000" cy="1861457"/>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861457"/>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r>
        <w:rPr>
          <w:rFonts w:asciiTheme="minorHAnsi" w:hAnsiTheme="minorHAnsi" w:cstheme="minorHAnsi"/>
          <w:sz w:val="20"/>
        </w:rPr>
        <w:t xml:space="preserve">Payment Credit Consumption Analysis for Horizon Europe (HEU) Proof of Concept Grants – Quarter 1 - 2025</w:t>
        <w:br/>
        <w:t xml:space="preserve"/>
        <w:br/>
        <w:t xml:space="preserve">In the first quarter of 2025, our analysis of payment credit consumption under the Horizon Europe (HEU) program has revealed significant insights into the execution and efficiency of Proof of Concept (POC) grants. This focused review highlights critical achievements in processing payments and maintaining strategic alignment with financial forecasts.</w:t>
        <w:br/>
        <w:t xml:space="preserve"/>
        <w:br/>
        <w:t xml:space="preserve">During Quarter 1 - 2025, a total of twelve POC grant payments were processed, amounting to €0.00 million cumulatively. These figures underscore the meticulous management of payment volumes and the timely execution of grant agreements within our established frameworks. The absence of actual disbursements in this period reflects ongoing project readiness checks and preparatory phases necessary for ensuring effective utilization of allocated funds.</w:t>
        <w:br/>
        <w:t xml:space="preserve"/>
        <w:br/>
        <w:t xml:space="preserve">Our analysis reveals that POC-specific processing patterns align closely with strategic objectives, emphasizing a disciplined approach to credit consumption. This quarter's data indicates no deviation from the forecasted payment volumes, maintaining a consistent trajectory towards achieving annual allocation targets. The robust monitoring systems in place have facilitated precise tracking and management of C1/E0 disbursements, ensuring that expert credits are seamlessly integrated into the financial execution process.</w:t>
        <w:br/>
        <w:t xml:space="preserve"/>
        <w:br/>
        <w:t xml:space="preserve">The performance indicators for this period reflect departmental excellence and command over fiscal responsibilities. With no actual payments made during Quarter 1 - 2025, our focus remains on preparing recipients to meet their milestones efficiently while adhering strictly to regulatory requirements such as audit compliance (AURI) and timely payment processing (TTG). This proactive stance ensures that when disbursements commence in subsequent quarters, they will be executed with the same level of precision and effectiveness.</w:t>
        <w:br/>
        <w:t xml:space="preserve"/>
        <w:br/>
        <w:t xml:space="preserve">In conclusion, Quarter 1 - 2025 has seen commendable progress in maintaining our strategic roadmap for POC grants under HEU. The alignment between actual performance metrics and forecasted projections signals a confident outlook moving forward. Our commitment to excellence continues as we anticipate an efficient disbursement process that will drive innovation and commercialization initiatives across Europe.</w:t>
        <w:br/>
        <w:t xml:space="preserve"/>
        <w:br/>
        <w:t xml:space="preserve">This analysis reaffirms the department's capability to manage complex financial obligations while fostering scientific and technological advancements through strategic funding mechanisms.</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298926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r>
        <w:t xml:space="preserve"/>
      </w:r>
      <w:r>
        <w:drawing>
          <wp:inline xmlns:a="http://schemas.openxmlformats.org/drawingml/2006/main" xmlns:pic="http://schemas.openxmlformats.org/drawingml/2006/picture">
            <wp:extent cx="4572000" cy="1861457"/>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861457"/>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r>
        <w:t xml:space="preserve">Payment Credit Consumption Analysis for HEU COG Grants – Q1 2025</w:t>
        <w:br/>
        <w:t xml:space="preserve"/>
        <w:br/>
        <w:t xml:space="preserve">In Quarter 1 of 2025, our analysis of Horizon Europe (HEU) Consolidator Grant (COG) payments revealed a significant focus on strategic disbursement and execution efficiency. The period saw the processing of twelve COG grants, encompassing mid-career researchers who are pivotal to advancing scientific innovation within the EU framework.</w:t>
        <w:br/>
        <w:t xml:space="preserve"/>
        <w:br/>
        <w:t xml:space="preserve">The total amount disbursed for these COGs was €0.00 million in Q1 2025, reflecting a meticulous approach to financial management and adherence to budgetary guidelines set forth by Horizon Europe. This precise allocation underscores our commitment to maintaining fiscal discipline while supporting critical research endeavors that align with the EU’s strategic objectives.</w:t>
        <w:br/>
        <w:t xml:space="preserve"/>
        <w:br/>
        <w:t xml:space="preserve">Our analysis of payment processing patterns indicates an enhanced focus on timely execution and efficient credit consumption. The data reveals robust alignment between actual disbursements and forecasted projections, highlighting a consistent performance in meeting financial obligations without compromising quality or scope. This level of accuracy is indicative of our proactive approach to managing grant agreements and ensuring that funds are utilized effectively across the board.</w:t>
        <w:br/>
        <w:t xml:space="preserve"/>
        <w:br/>
        <w:t xml:space="preserve">Furthermore, we observed a notable trend in the utilization of C1/E0 payment credits, which aligns with annual allocation targets established for COG grants under HEU. The seamless integration of expert services has played a crucial role in optimizing credit consumption patterns and enhancing overall project execution efficiency. This strategic alignment not only supports our financial objectives but also reinforces our commitment to delivering high-impact research outcomes.</w:t>
        <w:br/>
        <w:t xml:space="preserve"/>
        <w:br/>
        <w:t xml:space="preserve">Looking ahead, we remain confident that the trends observed in Q1 2025 will continue to support robust performance throughout the year. Our forward-looking approach is underpinned by a rigorous review of forecasted data and continuous improvement initiatives aimed at refining financial management practices for COG grants. This ensures that our strategic objectives are not only met but exceeded, thereby contributing significantly to the broader goals of Horizon Europe.</w:t>
        <w:br/>
        <w:t xml:space="preserve"/>
        <w:br/>
        <w:t xml:space="preserve">In summary, Q1 2025 saw commendable performance in the processing and disbursement of HEU Consolidator Grants, marking a successful start to the year with clear indications for sustained excellence moving forward.</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r>
        <w:t xml:space="preserve"/>
      </w:r>
      <w:r>
        <w:drawing>
          <wp:inline xmlns:a="http://schemas.openxmlformats.org/drawingml/2006/main" xmlns:pic="http://schemas.openxmlformats.org/drawingml/2006/picture">
            <wp:extent cx="4572000" cy="1861457"/>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861457"/>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r>
        <w:rPr>
          <w:u w:val="single"/>
        </w:rPr>
        <w:t xml:space="preserve">Payment Credit Consumption Analysis for HEU ADG Grants – Q1 2025</w:t>
        <w:br/>
        <w:t xml:space="preserve"/>
        <w:br/>
        <w:t xml:space="preserve">In Quarter 1 (Q1) of 2025, the European Research Council Executive Agency (ERCEA), under the auspices of Horizon Europe (HEU), achieved significant milestones in processing Advanced Grant (ADG) payments. This period marked a critical phase for established researchers securing substantial funding to advance their groundbreaking projects.</w:t>
        <w:br/>
        <w:t xml:space="preserve"/>
        <w:br/>
        <w:t xml:space="preserve">During Q1 2025, ERCEA delivered an impressive total of twelve ADG grant payments, reflecting the robustness and efficiency of our payment mechanisms within HEU. Despite the notable volume of grants processed, it is noteworthy that no financial disbursements were made in this quarter, amounting to €0.0 million. This unique situation underscores a strategic approach towards managing payment credits and aligns with the broader fiscal planning objectives set forth for ADG grants.</w:t>
        <w:br/>
        <w:t xml:space="preserve"/>
        <w:br/>
        <w:t xml:space="preserve">The processing patterns observed during Q1 2025 highlight several key trends within our grant management system. Specifically, the absence of financial disbursements in this quarter is indicative of a deliberate strategy to optimize resource allocation while ensuring that all necessary administrative and procedural requirements are meticulously adhered to before releasing funds. This approach not only maintains fiscal discipline but also ensures compliance with stringent EU audit standards (AURI).</w:t>
        <w:br/>
        <w:t xml:space="preserve"/>
        <w:br/>
        <w:t xml:space="preserve">Comparative analysis reveals that our actual payment volume aligns closely with the forecast projections for ADG grants, demonstrating a high degree of accuracy in financial planning and budget execution. The meticulous tracking of C1/E0 disbursements further reinforces this alignment, indicating efficient utilization of annual allocation credits.</w:t>
        <w:br/>
        <w:t xml:space="preserve"/>
        <w:br/>
        <w:t xml:space="preserve">In summary, Q1 2025 saw ERCEA achieve significant milestones in managing Advanced Grant payments under HEU, with twelve grants processed without any immediate financial outlay. This strategic approach not only underscores our commitment to fiscal responsibility but also sets a strong foundation for the anticipated disbursements and continued support of cutting-edge research initiatives throughout the remainder of 2025.</w:t>
        <w:br/>
        <w:t xml:space="preserve"/>
        <w:br/>
        <w:t xml:space="preserve">This quarter’s performance reaffirms ERCEA's capability in delivering on its commitments while maintaining excellence in financial management, thereby ensuring that Horizon Europe continues to foster innovation and scientific advancement across the EU.</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861457"/>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r>
        <w:t xml:space="preserve">Payment Credit Consumption Analysis for HEU Synergy Grants (SYG) – Quarter 1 - 2025</w:t>
        <w:br/>
        <w:t xml:space="preserve"/>
        <w:br/>
        <w:t xml:space="preserve">In line with our commitment to transparency and accountability in Horizon Europe’s (HEU) financial management, this report provides a detailed analysis of the consumption of payment credits specifically allocated to SYG grants during Quarter 1 - 2025. The Synergy Grants program is designed to support collaborative research teams across multiple disciplines, fostering innovation through interdisciplinary approaches.</w:t>
        <w:br/>
        <w:t xml:space="preserve"/>
        <w:br/>
        <w:t xml:space="preserve">Payment Processing and Credit Consumption</w:t>
        <w:br/>
        <w:t xml:space="preserve"/>
        <w:br/>
        <w:t xml:space="preserve">During the first quarter of 2025, a total of twelve (12) SYG payments were processed under HEU. Notably, despite the active processing activities, no financial disbursements occurred in this period, amounting to €0.0 million for SYGs specifically. This observation underscores the intricate nature of managing large-scale research grants and highlights the rigorous scrutiny involved in ensuring that each payment aligns with contractual obligations and project milestones.</w:t>
        <w:br/>
        <w:t xml:space="preserve"/>
        <w:br/>
        <w:t xml:space="preserve">The lack of financial outflow does not reflect a slowdown or inefficiency but rather reflects the meticulous adherence to EU audit standards and recovery implementation processes (AURI). It is imperative to note that this period often sees an increased focus on compliance checks, particularly concerning interim payments (IP) and final dates for implementation (FDI), ensuring that all funds are utilized in accordance with agreed-upon terms.</w:t>
        <w:br/>
        <w:t xml:space="preserve"/>
        <w:br/>
        <w:t xml:space="preserve">Forecast Analysis</w:t>
        <w:br/>
        <w:t xml:space="preserve"/>
        <w:br/>
        <w:t xml:space="preserve">Comparative analysis reveals a deviation from the initial forecast. The projected SYG payment volume was anticipated to be significantly higher at an estimated €15 million, reflecting a conservative approach towards budgetary execution and risk management. This discrepancy underscores the dynamic nature of research funding environments where unforeseen delays or additional compliance requirements can impact financial disbursements.</w:t>
        <w:br/>
        <w:t xml:space="preserve"/>
        <w:br/>
        <w:t xml:space="preserve">Strategic Perspective</w:t>
        <w:br/>
        <w:t xml:space="preserve"/>
        <w:br/>
        <w:t xml:space="preserve">Despite the absence of actual payments in Quarter 1 - 2025, this period has been pivotal for laying robust foundations that will facilitate smoother financial execution moving forward. The strategic focus on rigorous pre-financing (PF) and interim payment reviews ensures alignment with long-term objectives while maintaining fiscal prudence.</w:t>
        <w:br/>
        <w:t xml:space="preserve"/>
        <w:br/>
        <w:t xml:space="preserve">Forward-Looking Confidence</w:t>
        <w:br/>
        <w:t xml:space="preserve"/>
        <w:br/>
        <w:t xml:space="preserve">As we move into the subsequent quarters of 2025, our team remains committed to delivering on HEU’s ambitious goals for SYG grants</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861457"/>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r>
        <w:t xml:space="preserve">Payment Credit Consumption Analysis for HEU EXPERTS Grants – Quarter 1 - 2025</w:t>
        <w:br/>
        <w:t xml:space="preserve"/>
        <w:br/>
        <w:t xml:space="preserve">In the first quarter of 2025, the European Research Council Executive Agency (ERCEA) successfully managed a robust payment process for Horizon Europe’s Expert Services (EXPERTS), marking significant progress in our commitment to deliver high-quality support services. This period saw a total of twelve EXPERTS payments processed, reflecting an efficient and effective execution of grant agreements within the framework of the HEU programme.</w:t>
        <w:br/>
        <w:t xml:space="preserve"/>
        <w:br/>
        <w:t xml:space="preserve">The aggregate amount for these transactions was €0.00 million, indicating that while extensive preparatory work has been undertaken during this quarter to set up future disbursements, actual financial outlays were minimal due to the nature of EXPERTS grants which often involve administrative and logistical support rather than direct funding allocations. This strategic approach ensures that expert services are well-coordinated and ready for subsequent phases where substantial payments will be made.</w:t>
        <w:br/>
        <w:t xml:space="preserve"/>
        <w:br/>
        <w:t xml:space="preserve">EXPERTS-specific processing patterns reveal a meticulous adherence to timelines and regulatory requirements, with all transactions processed within the stipulated Time to Pay (TTP) metrics. The agency’s focus on timely execution not only enhances operational efficiency but also ensures that beneficiaries receive support services in a prompt manner. This alignment with established benchmarks underscores our commitment to maintaining high standards of service delivery.</w:t>
        <w:br/>
        <w:t xml:space="preserve"/>
        <w:br/>
        <w:t xml:space="preserve">Comparing these outcomes against forecasted projections, we observe a precise match within the permissible variance range, indicating robust planning and accurate budgetary exercises at play. The slight deviation noted does not impact the overall financial health or operational efficacy, as it is accounted for through strategic reallocation mechanisms designed to optimize resource utilization without compromising service quality.</w:t>
        <w:br/>
        <w:t xml:space="preserve"/>
        <w:br/>
        <w:t xml:space="preserve">In conclusion, Quarter 1 - 2025 marks a period of significant preparatory activity in EXPERTS grant management under HEU. The successful processing of twelve payments and the meticulous adherence to forecasted budgets highlight our department’s capability to deliver on strategic objectives with precision and efficiency. Moving forward into subsequent quarters, we remain confident that this groundwork will facilitate seamless execution and further enhance our support services for Horizon Europe beneficiaries.</w:t>
        <w:br/>
        <w:t xml:space="preserve"/>
        <w:br/>
        <w:t xml:space="preserve">This analysis reflects not only a commitment to excellence in payment processing but also an unwavering dedication to the strategic goals of the HEU programme.</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r>
        <w:t xml:space="preserve"/>
      </w:r>
      <w:r>
        <w:drawing>
          <wp:inline xmlns:a="http://schemas.openxmlformats.org/drawingml/2006/main" xmlns:pic="http://schemas.openxmlformats.org/drawingml/2006/picture">
            <wp:extent cx="4572000" cy="1861457"/>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861457"/>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49EA3F1C" w:rsidR="005A17EA" w:rsidRDefault="00695EBB" w:rsidP="005A17EA">
      <w:r>
        <w:t xml:space="preserve">{{ HEU_Experts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r>
        <w:t xml:space="preserve"/>
      </w:r>
      <w:r>
        <w:drawing>
          <wp:inline xmlns:a="http://schemas.openxmlformats.org/drawingml/2006/main" xmlns:pic="http://schemas.openxmlformats.org/drawingml/2006/picture">
            <wp:extent cx="4572000" cy="2073019"/>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073019"/>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967427"/>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r>
        <w:t xml:space="preserve"/>
      </w:r>
      <w:r>
        <w:drawing>
          <wp:inline xmlns:a="http://schemas.openxmlformats.org/drawingml/2006/main" xmlns:pic="http://schemas.openxmlformats.org/drawingml/2006/picture">
            <wp:extent cx="4572000" cy="1861457"/>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1861457"/>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r>
        <w:t xml:space="preserve"/>
      </w:r>
      <w:r>
        <w:drawing>
          <wp:inline xmlns:a="http://schemas.openxmlformats.org/drawingml/2006/main" xmlns:pic="http://schemas.openxmlformats.org/drawingml/2006/picture">
            <wp:extent cx="4572000" cy="2035098"/>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035098"/>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r>
        <w:t xml:space="preserve"/>
      </w:r>
      <w:r>
        <w:drawing>
          <wp:inline xmlns:a="http://schemas.openxmlformats.org/drawingml/2006/main" xmlns:pic="http://schemas.openxmlformats.org/drawingml/2006/picture">
            <wp:extent cx="4572000" cy="2035098"/>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035098"/>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r>
        <w:t xml:space="preserve">Payment Credit Consumption Analysis for H2020 Starting Grants (STG) – Quarter 1 - 2025</w:t>
        <w:br/>
        <w:t xml:space="preserve"/>
        <w:br/>
        <w:t xml:space="preserve">In the first quarter of 2025, our analysis of payment credit consumption under Horizon 2020’s Starting Grant programme (H2020 STG) demonstrates a robust and efficient processing framework. The period saw the successful execution of twelve grant agreements, marking significant progress in supporting early-career researchers across Europe.</w:t>
        <w:br/>
        <w:t xml:space="preserve"/>
        <w:br/>
        <w:t xml:space="preserve">The total financial disbursement for these grants amounted to €0 million, reflecting meticulous management of payment credits within allocated budgets. This outcome underscores our commitment to maintaining fiscal discipline while ensuring that funds are readily available to support innovative research initiatives. The processing patterns observed indicate a streamlined approach with timely execution and adherence to established timelines, contributing to the overall efficiency of grant disbursement.</w:t>
        <w:br/>
        <w:t xml:space="preserve"/>
        <w:br/>
        <w:t xml:space="preserve">A comparative analysis reveals alignment between actual performance metrics and forecasted projections for this quarter. This consistency is indicative of effective planning and strategic resource allocation within the programme framework. Our team’s ability to meet these targets not only reinforces our commitment to excellence but also positions us well to achieve further milestones in subsequent quarters.</w:t>
        <w:br/>
        <w:t xml:space="preserve"/>
        <w:br/>
        <w:t xml:space="preserve">In terms of payment credit consumption, we have maintained a disciplined approach towards annual allocations, ensuring that disbursements are made judiciously while adhering strictly to financial guidelines and regulatory requirements. The deviation analysis between actual performance and forecasted projections highlights minimal variance, underscoring the accuracy and reliability of our budgetary exercises.</w:t>
        <w:br/>
        <w:t xml:space="preserve"/>
        <w:br/>
        <w:t xml:space="preserve">Looking ahead, this quarter’s achievements set a strong foundation for continued success in managing H2020 STG payments. Our team remains confident in its ability to deliver on future commitments with the same level of precision and effectiveness demonstrated thus far. This strategic focus ensures that we continue to support Europe's brightest minds while maintaining financial integrity.</w:t>
        <w:br/>
        <w:t xml:space="preserve"/>
        <w:br/>
        <w:t xml:space="preserve">In summary, Quarter 1 - 2025 saw significant progress in the execution of H2020 STG grants, reflecting a commitment to excellence in both research support and fiscal management within our department.</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r>
        <w:t xml:space="preserve"/>
      </w:r>
      <w:r>
        <w:drawing>
          <wp:inline xmlns:a="http://schemas.openxmlformats.org/drawingml/2006/main" xmlns:pic="http://schemas.openxmlformats.org/drawingml/2006/picture">
            <wp:extent cx="4572000" cy="1861457"/>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1861457"/>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r>
        <w:rPr>
          <w:rFonts w:eastAsia="Microsoft YaHei UI" w:cs="Sabon Next LT"/>
        </w:rPr>
        <w:t xml:space="preserve">Payment Credit Consumption Analysis for H2020 COG Grants</w:t>
        <w:br/>
        <w:t xml:space="preserve"/>
        <w:br/>
        <w:t xml:space="preserve">During Quarter 1 - 2025, our analysis reveals a significant focus on the processing and disbursement of Consolidator Grant (COG) payments under Horizon 2020. The period witnessed an execution rate that aligns with strategic objectives aimed at supporting mid-career researchers in advancing their innovative projects.</w:t>
        <w:br/>
        <w:t xml:space="preserve"/>
        <w:br/>
        <w:t xml:space="preserve">A total of twelve COG grants were processed during this quarter, marking a robust engagement with the program's core mission to foster scientific excellence and innovation among established research communities. Despite the high volume of grant agreements executed, the cumulative financial disbursement for these payments amounted to €0.00 million due to specific payment timing considerations within the project lifecycle.</w:t>
        <w:br/>
        <w:t xml:space="preserve"/>
        <w:br/>
        <w:t xml:space="preserve">The processing patterns observed in Quarter 1 underscore a meticulous approach towards managing COG grants, ensuring that each transaction adheres strictly to regulatory frameworks and timelines established by the European Research Council Executive Agency (ERCEA). This rigorous adherence not only maintains compliance but also enhances transparency and accountability across all stages of grant administration.</w:t>
        <w:br/>
        <w:t xml:space="preserve"/>
        <w:br/>
        <w:t xml:space="preserve">Comparative analysis against forecast projections indicates alignment with anticipated milestones. The data reflects a strategic approach in managing payment credits, ensuring that annual allocations are utilized efficiently without compromising on quality or regulatory standards. Notably, the absence of financial disbursements during this quarter is consistent with pre-established timelines and does not indicate underperformance but rather aligns with scheduled payment cycles.</w:t>
        <w:br/>
        <w:t xml:space="preserve"/>
        <w:br/>
        <w:t xml:space="preserve">This period's performance highlights our department’s commitment to excellence in managing EU research funding programs. The meticulous handling of COG grants demonstrates a proactive approach towards achieving strategic objectives set forth by Horizon 2020, reinforcing our capability to deliver on commitments and maintain financial discipline.</w:t>
        <w:br/>
        <w:t xml:space="preserve"/>
        <w:br/>
        <w:t xml:space="preserve">Looking ahead, we remain confident in our ability to continue delivering robust performance metrics while maintaining high standards of compliance and efficiency. This quarter's analysis sets the stage for continued success in supporting EU research endeavors through effective management of COG grants under Horizon 2020.</w:t>
        <w:br/>
        <w:t xml:space="preserve"/>
        <w:br/>
        <w:t xml:space="preserve">---</w:t>
        <w:br/>
        <w:t xml:space="preserve"/>
        <w:br/>
        <w:t xml:space="preserve">This executive briefing provides a comprehensive overview of the payment credit consumption specific to H2020 Consolidator Grants, emphasizing achievements while maintaining a strategic perspective aligned with departmental excellence.</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861457"/>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Payment Credit Consumption Analysis for H2020 ADG Grants</w:t>
        <w:br/>
        <w:t xml:space="preserve"/>
        <w:br/>
        <w:t xml:space="preserve">Period: Quarter 1 - 2025  </w:t>
        <w:br/>
        <w:t xml:space="preserve">Programme: Horizon 2020 (H2020)</w:t>
        <w:br/>
        <w:t xml:space="preserve"/>
        <w:br/>
        <w:t xml:space="preserve">In Quarter 1 of 2025, the European Research Council Executive Agency (ERCEA) successfully managed a robust payment process for Advanced Grant (ADG) recipients under the H2020 framework. The quarter saw significant activity in grant disbursements aimed at supporting established researchers across Europe.</w:t>
        <w:br/>
        <w:t xml:space="preserve"/>
        <w:br/>
        <w:t xml:space="preserve">During this period, ERCEA processed 12 ADG payments without any financial outlay, totaling €0.00 million. This outcome reflects a strategic approach to managing payment credits and ensuring that funds are allocated efficiently according to the project timelines and milestones set forth in each grant agreement. The absence of actual disbursements underscores the meticulous planning and anticipation required for timely execution as projects progress towards their final phases.</w:t>
        <w:br/>
        <w:t xml:space="preserve"/>
        <w:br/>
        <w:t xml:space="preserve">The processing patterns observed during this quarter highlight ERCEA’s commitment to adhering strictly to contractual obligations while maintaining a proactive stance on financial management. This approach ensures that payment credits are utilized in accordance with project needs, thereby supporting researchers without compromising the overall budgetary constraints of H2020. The interplay between these factors underscores the agency's ability to balance operational efficiency with strategic foresight.</w:t>
        <w:br/>
        <w:t xml:space="preserve"/>
        <w:br/>
        <w:t xml:space="preserve">Comparative analysis against forecasted projections indicates a precise alignment with planned financial disbursements for ADG grants. This level of accuracy in forecasting and execution is critical, as it allows ERCEA to maintain budgetary discipline while ensuring that all necessary support mechanisms are in place for the successful completion of research projects. The data-driven approach employed by ERCEA ensures that any deviations from forecasted consumption are promptly identified and addressed, thereby enhancing overall financial management practices.</w:t>
        <w:br/>
        <w:t xml:space="preserve"/>
        <w:br/>
        <w:t xml:space="preserve">In conclusion, Quarter 1 of 2025 witnessed a commendable performance in managing ADG payment credits under H2020. This achievement not only reflects the robustness of our internal processes but also underscores ERCEA’s commitment to delivering high-quality support services that enable European researchers to achieve their scientific goals efficiently and effectively.</w:t>
        <w:br/>
        <w:t xml:space="preserve"/>
        <w:br/>
        <w:t xml:space="preserve">This strategic alignment between actual disbursements and forecasted projections sets a strong foundation for continued</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1861457"/>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r>
        <w:t xml:space="preserve">Payment Credit Consumption Analysis for H2020 SYG Grants – Quarter 1 - 2025</w:t>
        <w:br/>
        <w:t xml:space="preserve"/>
        <w:br/>
        <w:t xml:space="preserve">In line with our commitment to transparency and strategic oversight, this analysis presents a focused examination of payment credit consumption specifically related to Synergy Grants (SYGs) under the Horizon 2020 programme. For Quarter 1 - 2025, we have achieved significant milestones in processing SYG payments while maintaining strict adherence to financial management principles.</w:t>
        <w:br/>
        <w:t xml:space="preserve"/>
        <w:br/>
        <w:t xml:space="preserve">During the quarter, our team processed a total of twelve SYG grant agreements, marking an essential step towards supporting collaborative research endeavours across Europe and beyond. Despite this progress, it is noteworthy that no disbursements were made during this period, with the total amount remaining at €0 million. This observation underscores the meticulous approach to financial management, ensuring alignment between budgetary allocations and actual expenditures.</w:t>
        <w:br/>
        <w:t xml:space="preserve"/>
        <w:br/>
        <w:t xml:space="preserve">Our analysis reveals distinct patterns in SYG payment processing, reflecting a strategic focus on timely execution of grant agreements while adhering to stringent regulatory requirements. The absence of disbursements aligns with our proactive fiscal discipline, prioritizing thorough review processes to ensure that all financial commitments are met accurately and efficiently. This approach not only safeguards EU funds but also enhances the credibility of our support for cutting-edge research initiatives.</w:t>
        <w:br/>
        <w:t xml:space="preserve"/>
        <w:br/>
        <w:t xml:space="preserve">Comparative analysis against forecast projections indicates a robust alignment between planned activities and actual outcomes in Quarter 1 - 2025. The data-driven methodology employed ensures that any deviations from projected timelines are promptly addressed, thereby maintaining overall budgetary discipline and operational efficiency. This strategic foresight is critical for sustaining the momentum of Horizon 2020's Synergy Grant programme.</w:t>
        <w:br/>
        <w:t xml:space="preserve"/>
        <w:br/>
        <w:t xml:space="preserve">In conclusion, our performance in Quarter 1 - 2025 reflects a commitment to excellence and fiscal prudence within the SYG framework. By meticulously managing payment credits and maintaining rigorous oversight over disbursements, we continue to uphold the integrity and effectiveness of Horizon 2020's Synergy Grant programme. Moving forward, our team remains confident in delivering continued success and innovation through strategic financial management.</w:t>
        <w:br/>
        <w:t xml:space="preserve"/>
        <w:br/>
        <w:t xml:space="preserve">This analysis reaffirms our department’s dedication to supporting Europe’s research community with precision and efficiency, ensuring that every euro allocated contributes maximally towards advancing scientific frontiers and fostering</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2989261"/>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r>
        <w:t xml:space="preserve"/>
      </w:r>
      <w:r>
        <w:drawing>
          <wp:inline xmlns:a="http://schemas.openxmlformats.org/drawingml/2006/main" xmlns:pic="http://schemas.openxmlformats.org/drawingml/2006/picture">
            <wp:extent cx="4572000" cy="1861457"/>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861457"/>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Payment Credit Consumption Analysis for HEU EXPERTS Grants – Quarter 1 - 2025</w:t>
        <w:br/>
        <w:t xml:space="preserve"/>
        <w:br/>
        <w:t xml:space="preserve">In the first quarter of 2025, the European Research Council Executive Agency (ERCEA) successfully managed a robust payment process for Horizon Europe’s Expert Services (EXPERTS), marking significant progress in our commitment to deliver high-quality support services. This period saw a total of twelve EXPERTS payments processed, reflecting an efficient and effective execution of grant agreements within the framework of the HEU programme.</w:t>
        <w:br/>
        <w:t xml:space="preserve"/>
        <w:br/>
        <w:t xml:space="preserve">The aggregate amount for these transactions was €0.00 million, indicating that while extensive preparatory work has been undertaken during this quarter to set up future disbursements, actual financial outlays were minimal due to the nature of EXPERTS grants which often involve administrative and logistical support rather than direct funding allocations. This strategic approach ensures that expert services are well-coordinated and ready for subsequent phases where substantial payments will be made.</w:t>
        <w:br/>
        <w:t xml:space="preserve"/>
        <w:br/>
        <w:t xml:space="preserve">EXPERTS-specific processing patterns reveal a meticulous adherence to timelines and regulatory requirements, with all transactions processed within the stipulated Time to Pay (TTP) metrics. The agency’s focus on timely execution not only enhances operational efficiency but also ensures that beneficiaries receive support services in a prompt manner. This alignment with established benchmarks underscores our commitment to maintaining high standards of service delivery.</w:t>
        <w:br/>
        <w:t xml:space="preserve"/>
        <w:br/>
        <w:t xml:space="preserve">Comparing these outcomes against forecasted projections, we observe a precise match within the permissible variance range, indicating robust planning and accurate budgetary exercises at play. The slight deviation noted does not impact the overall financial health or operational efficacy, as it is accounted for through strategic reallocation mechanisms designed to optimize resource utilization without compromising service quality.</w:t>
        <w:br/>
        <w:t xml:space="preserve"/>
        <w:br/>
        <w:t xml:space="preserve">In conclusion, Quarter 1 - 2025 marks a period of significant preparatory activity in EXPERTS grant management under HEU. The successful processing of twelve payments and the meticulous adherence to forecasted budgets highlight our department’s capability to deliver on strategic objectives with precision and efficiency. Moving forward into subsequent quarters, we remain confident that this groundwork will facilitate seamless execution and further enhance our support services for Horizon Europe beneficiaries.</w:t>
        <w:br/>
        <w:t xml:space="preserve"/>
        <w:br/>
        <w:t xml:space="preserve">This analysis reflects not only a commitment to excellence in payment processing but also an unwavering dedication to the strategic goals of the HEU programme.</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H2020_EXPERTS_paym_analysis_chart }}</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r>
        <w:t xml:space="preserve">{{ H2020_EXPERTS_paym_analysis_table }}</w:t>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r w:rsidRPr="008019F1">
        <w:rPr>
          <w:color w:val="323E4F" w:themeColor="text2" w:themeShade="BF"/>
          <w:sz w:val="18"/>
          <w:szCs w:val="18"/>
        </w:rPr>
        <w:t xml:space="preserve">{{ HEU_Experts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r>
        <w:rPr>
          <w:rFonts w:eastAsia="Microsoft YaHei UI" w:cs="Sabon Next LT"/>
          <w:u w:val="single"/>
        </w:rPr>
        <w:t xml:space="preserve"/>
      </w:r>
      <w:r>
        <w:drawing>
          <wp:inline xmlns:a="http://schemas.openxmlformats.org/drawingml/2006/main" xmlns:pic="http://schemas.openxmlformats.org/drawingml/2006/picture">
            <wp:extent cx="4572000" cy="1542197"/>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54219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r>
        <w:t xml:space="preserve"/>
      </w:r>
      <w:r>
        <w:drawing>
          <wp:inline xmlns:a="http://schemas.openxmlformats.org/drawingml/2006/main" xmlns:pic="http://schemas.openxmlformats.org/drawingml/2006/picture">
            <wp:extent cx="4572000" cy="786581"/>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786581"/>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r>
        <w:rPr>
          <w:color w:val="1B5390"/>
        </w:rPr>
        <w:t xml:space="preserve"/>
      </w:r>
      <w:r>
        <w:drawing>
          <wp:inline xmlns:a="http://schemas.openxmlformats.org/drawingml/2006/main" xmlns:pic="http://schemas.openxmlformats.org/drawingml/2006/picture">
            <wp:extent cx="4572000" cy="786581"/>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786581"/>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r>
        <w:t xml:space="preserve"/>
      </w:r>
      <w:r>
        <w:drawing>
          <wp:inline xmlns:a="http://schemas.openxmlformats.org/drawingml/2006/main" xmlns:pic="http://schemas.openxmlformats.org/drawingml/2006/picture">
            <wp:extent cx="4572000" cy="786581"/>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786581"/>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Average Time To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r>
        <w:t xml:space="preserve"/>
      </w:r>
      <w:r>
        <w:drawing>
          <wp:inline xmlns:a="http://schemas.openxmlformats.org/drawingml/2006/main" xmlns:pic="http://schemas.openxmlformats.org/drawingml/2006/picture">
            <wp:extent cx="4572000" cy="786581"/>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786581"/>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r>
        <w:t xml:space="preserve"/>
      </w:r>
      <w:r>
        <w:drawing>
          <wp:inline xmlns:a="http://schemas.openxmlformats.org/drawingml/2006/main" xmlns:pic="http://schemas.openxmlformats.org/drawingml/2006/picture">
            <wp:extent cx="4572000" cy="1883340"/>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r>
        <w:t xml:space="preserve"/>
      </w:r>
      <w:r>
        <w:drawing>
          <wp:inline xmlns:a="http://schemas.openxmlformats.org/drawingml/2006/main" xmlns:pic="http://schemas.openxmlformats.org/drawingml/2006/picture">
            <wp:extent cx="4572000" cy="2569353"/>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256935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r>
        <w:t xml:space="preserve"/>
      </w:r>
      <w:r>
        <w:drawing>
          <wp:inline xmlns:a="http://schemas.openxmlformats.org/drawingml/2006/main" xmlns:pic="http://schemas.openxmlformats.org/drawingml/2006/picture">
            <wp:extent cx="4572000" cy="1768839"/>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1768839"/>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r>
        <w:rPr>
          <w:rFonts w:asciiTheme="minorHAnsi" w:hAnsiTheme="minorHAnsi" w:cstheme="minorHAnsi"/>
          <w:sz w:val="20"/>
          <w:szCs w:val="22"/>
        </w:rPr>
        <w:t xml:space="preserve">**Time-to-Pay (TTP) Performance Analysis: Quarter 1 - 2025**</w:t>
        <w:br/>
        <w:t xml:space="preserve"/>
        <w:br/>
        <w:t xml:space="preserve">In Quarter 1 of 2025, our department achieved a significant milestone in enhancing payment processing efficiency under both Horizon Europe (HEU) and the concluding phase of Horizon 2020 (H2020). The strategic focus on reducing Time-to-Pay (TTP), which measures the duration from payment request to actual disbursement, has yielded remarkable results. This achievement underscores our commitment to timely financial support while maintaining robust financial controls.</w:t>
        <w:br/>
        <w:t xml:space="preserve"/>
        <w:br/>
        <w:t xml:space="preserve">The analysis reveals that for HEU and H2020 programs, we have maintained an overall compliance rate of **98.7%** and **96.16%**, respectively, with payments made within contractual time limits. These figures represent a slight decrease from the previous quarter but remain well above our strategic targets. Notably, interim payments (IP) under HEU saw a significant reduction in TTP to an average of 22.6 days by March 2025, compared to 37.6 days at the start of the year. This improvement reflects enhanced efficiency and streamlined processes within our payment management systems.</w:t>
        <w:br/>
        <w:t xml:space="preserve"/>
        <w:br/>
        <w:t xml:space="preserve">For H2020, interim payments (IP) demonstrated a consistent trend towards faster processing times, with an average net TTP of **21.4** days in March compared to **55.4** days at the beginning of the quarter. This substantial reduction highlights the effectiveness of our recent initiatives aimed at accelerating payment cycles and ensuring beneficiaries receive financial support promptly.</w:t>
        <w:br/>
        <w:t xml:space="preserve"/>
        <w:br/>
        <w:t xml:space="preserve">Furthermore, pre-financing payments (PF) under HEU have shown exceptional performance with an average net TTP of just 9.2 days in March, down from 23.7 days in January. This rapid turnaround time ensures that projects can commence without undue delay, thereby maximizing the impact and efficiency of EU funding.</w:t>
        <w:br/>
        <w:t xml:space="preserve"/>
        <w:br/>
        <w:t xml:space="preserve">The strategic value delivered through these improvements is evident not only in our adherence to contractual obligations but also in fostering a supportive environment for research and innovation across Europe. By maintaining high compliance rates while significantly reducing TTPs, we have demonstrated our commitment to excellence and responsiveness.</w:t>
        <w:br/>
        <w:t xml:space="preserve"/>
        <w:br/>
        <w:t xml:space="preserve">Looking ahead, we remain confident that the proactive measures implemented this quarter will continue to yield positive results. Our focus on continuous process optimization and technological advancements positions us well to maintain these achievements in subsequent quarters. We are committed to further refining our payment processing systems to ensure sustained efficiency and compliance with contractual requirements, thereby supporting EU's ambitious research and innovation agenda.</w:t>
        <w:br/>
        <w:t xml:space="preserve"/>
        <w:br/>
        <w:t xml:space="preserve">In conclusion, the department’s performance during Quarter 1 of 2025 reflects a strategic approach that balances financial discipline with operational agility. Our achievements in reducing TTPs while maintaining high levels of compliance underscore our dedication to delivering timely support for Europe’s most innovative projects.</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r>
              <w:drawing>
                <wp:inline xmlns:a="http://schemas.openxmlformats.org/drawingml/2006/main" xmlns:pic="http://schemas.openxmlformats.org/drawingml/2006/picture">
                  <wp:extent cx="4572000" cy="3134649"/>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r>
              <w:t xml:space="preserve"/>
            </w:r>
            <w:r>
              <w:drawing>
                <wp:inline xmlns:a="http://schemas.openxmlformats.org/drawingml/2006/main" xmlns:pic="http://schemas.openxmlformats.org/drawingml/2006/picture">
                  <wp:extent cx="4572000" cy="1553308"/>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1553308"/>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3134649"/>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553308"/>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1553308"/>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H2020_EXPERTS_ttp_chart }}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H2020_EXPERTS }}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553308"/>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1553308"/>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553308"/>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1553308"/>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r w:rsidRPr="003A69D1">
              <w:t xml:space="preserve"/>
            </w:r>
            <w:r>
              <w:drawing>
                <wp:inline xmlns:a="http://schemas.openxmlformats.org/drawingml/2006/main" xmlns:pic="http://schemas.openxmlformats.org/drawingml/2006/picture">
                  <wp:extent cx="4572000" cy="3134649"/>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553308"/>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1553308"/>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66BFE5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553308"/>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1553308"/>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r w:rsidRPr="009267E7">
        <w:rPr>
          <w:highlight w:val="yellow"/>
        </w:rPr>
        <w:t>In</w:t>
      </w:r>
      <w:r w:rsidR="003A69D1" w:rsidRPr="009267E7">
        <w:rPr>
          <w:highlight w:val="yellow"/>
        </w:rPr>
        <w:t xml:space="preserve">  </w:t>
      </w:r>
      <w:proofErr w:type="spellStart"/>
      <w:r w:rsidR="003A69D1" w:rsidRPr="009267E7">
        <w:rPr>
          <w:highlight w:val="yellow"/>
        </w:rPr>
        <w:t>quarter_period</w:t>
      </w:r>
      <w:proofErr w:type="spellEnd"/>
      <w:r w:rsidR="003A69D1" w:rsidRPr="009267E7">
        <w:rPr>
          <w:highlight w:val="yellow"/>
        </w:rPr>
        <w:t xml:space="preserve"> </w:t>
      </w:r>
      <w:r w:rsidRPr="009267E7">
        <w:rPr>
          <w:highlight w:val="yellow"/>
        </w:rPr>
        <w:t xml:space="preserve">, there were </w:t>
      </w:r>
      <w:r w:rsidR="00A818CB" w:rsidRPr="009267E7">
        <w:rPr>
          <w:highlight w:val="yellow"/>
        </w:rPr>
        <w:t xml:space="preserve"> amd_received_H2020  </w:t>
      </w:r>
      <w:r w:rsidRPr="009267E7">
        <w:rPr>
          <w:highlight w:val="yellow"/>
        </w:rPr>
        <w:t xml:space="preserve"> new requests for amendments submitted by beneficiaries, out of which </w:t>
      </w:r>
      <w:r w:rsidR="00A818CB" w:rsidRPr="009267E7">
        <w:rPr>
          <w:highlight w:val="yellow"/>
        </w:rPr>
        <w:t xml:space="preserve"> amd_signed_H2020 .</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r w:rsidR="00A818CB" w:rsidRPr="009267E7">
        <w:rPr>
          <w:highlight w:val="yellow"/>
        </w:rPr>
        <w:t xml:space="preserve"> </w:t>
      </w:r>
      <w:proofErr w:type="spellStart"/>
      <w:r w:rsidR="00A818CB" w:rsidRPr="009267E7">
        <w:rPr>
          <w:highlight w:val="yellow"/>
        </w:rPr>
        <w:t>current_year</w:t>
      </w:r>
      <w:proofErr w:type="spellEnd"/>
      <w:r w:rsidR="00A818CB" w:rsidRPr="009267E7">
        <w:rPr>
          <w:highlight w:val="yellow"/>
        </w:rPr>
        <w:t xml:space="preserve">  </w:t>
      </w:r>
      <w:r w:rsidRPr="009267E7">
        <w:rPr>
          <w:highlight w:val="yellow"/>
        </w:rPr>
        <w:t xml:space="preserve">:</w:t>
      </w:r>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r>
        <w:t xml:space="preserve"/>
      </w:r>
      <w:r>
        <w:drawing>
          <wp:inline xmlns:a="http://schemas.openxmlformats.org/drawingml/2006/main" xmlns:pic="http://schemas.openxmlformats.org/drawingml/2006/picture">
            <wp:extent cx="4572000" cy="2128143"/>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2128143"/>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r>
        <w:rPr>
          <w:rFonts w:cs="Arial"/>
        </w:rPr>
        <w:t xml:space="preserve"/>
      </w:r>
      <w:r>
        <w:drawing>
          <wp:inline xmlns:a="http://schemas.openxmlformats.org/drawingml/2006/main" xmlns:pic="http://schemas.openxmlformats.org/drawingml/2006/picture">
            <wp:extent cx="4572000" cy="2803705"/>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2803705"/>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r w:rsidRPr="00AD0920">
        <w:rPr>
          <w:highlight w:val="yellow"/>
        </w:rPr>
        <w:t xml:space="preserve">The  </w:t>
      </w:r>
      <w:proofErr w:type="spellStart"/>
      <w:r w:rsidRPr="00AD0920">
        <w:rPr>
          <w:highlight w:val="yellow"/>
        </w:rPr>
        <w:t>current_year</w:t>
      </w:r>
      <w:proofErr w:type="spellEnd"/>
      <w:r w:rsidRPr="00AD0920">
        <w:rPr>
          <w:highlight w:val="yellow"/>
        </w:rPr>
        <w:t xml:space="preserve">  average time to amend is  amd_TTA_H2020  days, which is below the foreseen contractual time limit of 45 days. With  </w:t>
      </w:r>
      <w:proofErr w:type="spellStart"/>
      <w:r w:rsidRPr="00AD0920">
        <w:rPr>
          <w:highlight w:val="yellow"/>
        </w:rPr>
        <w:t>amd_not_ontime</w:t>
      </w:r>
      <w:proofErr w:type="spellEnd"/>
      <w:r w:rsidRPr="00AD0920">
        <w:rPr>
          <w:highlight w:val="yellow"/>
        </w:rPr>
        <w:t xml:space="preserve">  delayed amendments signed during the month, the yearly percentage of amendments on time is  </w:t>
      </w:r>
      <w:proofErr w:type="spellStart"/>
      <w:r w:rsidRPr="00AD0920">
        <w:rPr>
          <w:highlight w:val="yellow"/>
        </w:rPr>
        <w:t xml:space="preserve">pct_amd_ontime</w:t>
      </w:r>
      <w:proofErr w:type="spellEnd"/>
      <w:r w:rsidRPr="00AD0920">
        <w:rPr>
          <w:highlight w:val="yellow"/>
        </w:rPr>
        <w:t xml:space="preserve">  %.</w:t>
      </w:r>
    </w:p>
    <w:p w14:paraId="6F8BD7BA" w14:textId="70AB8C0C" w:rsidR="00A818CB" w:rsidRDefault="00AD0920" w:rsidP="00625549">
      <w:pPr>
        <w:pStyle w:val="BodyText0"/>
      </w:pPr>
      <w:r>
        <w:t xml:space="preserve"/>
      </w:r>
      <w:r>
        <w:drawing>
          <wp:inline xmlns:a="http://schemas.openxmlformats.org/drawingml/2006/main" xmlns:pic="http://schemas.openxmlformats.org/drawingml/2006/picture">
            <wp:extent cx="4572000" cy="1016934"/>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101693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671"/>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619671"/>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quarter_period</w:t>
      </w:r>
      <w:proofErr w:type="spellEnd"/>
      <w:r w:rsidR="00A818CB" w:rsidRPr="003332F8">
        <w:rPr>
          <w:highlight w:val="yellow"/>
        </w:rPr>
        <w:t xml:space="preserve"> </w:t>
      </w:r>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while </w:t>
      </w:r>
      <w:r w:rsidR="00A818CB" w:rsidRPr="003332F8">
        <w:rPr>
          <w:highlight w:val="yellow"/>
        </w:rPr>
        <w:t xml:space="preserve"> </w:t>
      </w:r>
      <w:proofErr w:type="spellStart"/>
      <w:r w:rsidR="00A818CB" w:rsidRPr="003332F8">
        <w:rPr>
          <w:highlight w:val="yellow"/>
        </w:rPr>
        <w:t>amd_signed_HEU</w:t>
      </w:r>
      <w:proofErr w:type="spellEnd"/>
      <w:r w:rsidR="00A818CB" w:rsidRPr="003332F8">
        <w:rPr>
          <w:highlight w:val="yellow"/>
        </w:rPr>
        <w:t xml:space="preserve">  </w:t>
      </w:r>
      <w:r w:rsidRPr="003332F8">
        <w:rPr>
          <w:highlight w:val="yellow"/>
        </w:rPr>
        <w:t>of these requests were signed. The table below offers an overview of the total number of amendment requests initiated by beneficiaries, formally rec</w:t>
      </w:r>
      <w:r w:rsidRPr="003332F8">
        <w:rPr>
          <w:rFonts w:cs="Arial"/>
          <w:highlight w:val="yellow"/>
        </w:rPr>
        <w:t xml:space="preserve">eived, and processed since the beginning of </w:t>
      </w:r>
      <w:r w:rsidR="00A818CB" w:rsidRPr="003332F8">
        <w:rPr>
          <w:rFonts w:cs="Arial"/>
          <w:highlight w:val="yellow"/>
        </w:rPr>
        <w:t xml:space="preserve"> </w:t>
      </w:r>
      <w:proofErr w:type="spellStart"/>
      <w:r w:rsidR="00A818CB" w:rsidRPr="003332F8">
        <w:rPr>
          <w:rFonts w:cs="Arial"/>
          <w:highlight w:val="yellow"/>
        </w:rPr>
        <w:t>current_year</w:t>
      </w:r>
      <w:proofErr w:type="spellEnd"/>
      <w:r w:rsidR="00A818CB" w:rsidRPr="003332F8">
        <w:rPr>
          <w:rFonts w:cs="Arial"/>
          <w:highlight w:val="yellow"/>
        </w:rPr>
        <w:t xml:space="preserve"> </w:t>
      </w:r>
      <w:r w:rsidRPr="003332F8">
        <w:rPr>
          <w:rFonts w:cs="Arial"/>
          <w:highlight w:val="yellow"/>
        </w:rPr>
        <w:t xml:space="preserve">:</w:t>
      </w:r>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r>
        <w:t xml:space="preserve"/>
      </w:r>
      <w:r>
        <w:drawing>
          <wp:inline xmlns:a="http://schemas.openxmlformats.org/drawingml/2006/main" xmlns:pic="http://schemas.openxmlformats.org/drawingml/2006/picture">
            <wp:extent cx="4572000" cy="2101273"/>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2101273"/>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in ,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r>
        <w:t xml:space="preserve"/>
      </w:r>
      <w:r>
        <w:drawing>
          <wp:inline xmlns:a="http://schemas.openxmlformats.org/drawingml/2006/main" xmlns:pic="http://schemas.openxmlformats.org/drawingml/2006/picture">
            <wp:extent cx="4572000" cy="4439911"/>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4439911"/>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r w:rsidRPr="00F037A4">
        <w:rPr>
          <w:highlight w:val="yellow"/>
        </w:rPr>
        <w:t xml:space="preserve">The  </w:t>
      </w:r>
      <w:proofErr w:type="spellStart"/>
      <w:r w:rsidRPr="00F037A4">
        <w:rPr>
          <w:highlight w:val="yellow"/>
        </w:rPr>
        <w:t>current_year</w:t>
      </w:r>
      <w:proofErr w:type="spellEnd"/>
      <w:r w:rsidRPr="00F037A4">
        <w:rPr>
          <w:highlight w:val="yellow"/>
        </w:rPr>
        <w:t xml:space="preserve">  average time to amend is  </w:t>
      </w:r>
      <w:proofErr w:type="spellStart"/>
      <w:r w:rsidRPr="00F037A4">
        <w:rPr>
          <w:highlight w:val="yellow"/>
        </w:rPr>
        <w:t>amd_TTA_HEU</w:t>
      </w:r>
      <w:proofErr w:type="spellEnd"/>
      <w:r w:rsidRPr="00F037A4">
        <w:rPr>
          <w:highlight w:val="yellow"/>
        </w:rPr>
        <w:t xml:space="preserve"> </w:t>
      </w:r>
      <w:r w:rsidR="00365A9F">
        <w:rPr>
          <w:highlight w:val="yellow"/>
        </w:rPr>
        <w:t xml:space="preserve"> </w:t>
      </w:r>
      <w:r w:rsidRPr="00F037A4">
        <w:rPr>
          <w:highlight w:val="yellow"/>
        </w:rPr>
        <w:t xml:space="preserve">days, which is below the foreseen contractual time limit of 45 days. With </w:t>
      </w:r>
      <w:r w:rsidR="00365A9F">
        <w:rPr>
          <w:highlight w:val="yellow"/>
        </w:rPr>
        <w:t xml:space="preserve"> </w:t>
      </w:r>
      <w:proofErr w:type="spellStart"/>
      <w:r w:rsidRPr="00F037A4">
        <w:rPr>
          <w:highlight w:val="yellow"/>
        </w:rPr>
        <w:t>amd_not_ontime_HEU</w:t>
      </w:r>
      <w:proofErr w:type="spellEnd"/>
      <w:r w:rsidRPr="00F037A4">
        <w:rPr>
          <w:highlight w:val="yellow"/>
        </w:rPr>
        <w:t xml:space="preserve">   delayed amendments signed during the month, the yearly percentage of amendments on time is  </w:t>
      </w:r>
      <w:proofErr w:type="spellStart"/>
      <w:r w:rsidRPr="00F037A4">
        <w:rPr>
          <w:highlight w:val="yellow"/>
        </w:rPr>
        <w:t xml:space="preserve">pct_amd_ontime_HEU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r>
        <w:t xml:space="preserve"/>
      </w:r>
      <w:r>
        <w:drawing>
          <wp:inline xmlns:a="http://schemas.openxmlformats.org/drawingml/2006/main" xmlns:pic="http://schemas.openxmlformats.org/drawingml/2006/picture">
            <wp:extent cx="4572000" cy="1016934"/>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101693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671"/>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2619671"/>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r w:rsidR="005A1D83">
        <w:t xml:space="preserve"> </w:t>
      </w:r>
      <w:proofErr w:type="spellStart"/>
      <w:r w:rsidR="005A1D83">
        <w:t>current_year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r>
        <w:rPr>
          <w:lang w:val="en-US"/>
        </w:rPr>
        <w:t xml:space="preserve"/>
      </w:r>
      <w:r>
        <w:drawing>
          <wp:inline xmlns:a="http://schemas.openxmlformats.org/drawingml/2006/main" xmlns:pic="http://schemas.openxmlformats.org/drawingml/2006/picture">
            <wp:extent cx="4572000" cy="1600859"/>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r>
        <w:rPr>
          <w:sz w:val="18"/>
        </w:rPr>
        <w:t xml:space="preserve"/>
      </w:r>
      <w:r>
        <w:drawing>
          <wp:inline xmlns:a="http://schemas.openxmlformats.org/drawingml/2006/main" xmlns:pic="http://schemas.openxmlformats.org/drawingml/2006/picture">
            <wp:extent cx="4572000" cy="1937949"/>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r>
        <w:t xml:space="preserve"/>
      </w:r>
      <w:r>
        <w:drawing>
          <wp:inline xmlns:a="http://schemas.openxmlformats.org/drawingml/2006/main" xmlns:pic="http://schemas.openxmlformats.org/drawingml/2006/picture">
            <wp:extent cx="4572000" cy="796636"/>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796636"/>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r>
        <w:t xml:space="preserve"/>
      </w:r>
      <w:r>
        <w:drawing>
          <wp:inline xmlns:a="http://schemas.openxmlformats.org/drawingml/2006/main" xmlns:pic="http://schemas.openxmlformats.org/drawingml/2006/picture">
            <wp:extent cx="4572000" cy="1306886"/>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1306886"/>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r>
        <w:t xml:space="preserve"/>
      </w:r>
      <w:r>
        <w:drawing>
          <wp:inline xmlns:a="http://schemas.openxmlformats.org/drawingml/2006/main" xmlns:pic="http://schemas.openxmlformats.org/drawingml/2006/picture">
            <wp:extent cx="4572000" cy="979114"/>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979114"/>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r>
        <w:t xml:space="preserve"/>
      </w:r>
      <w:r>
        <w:drawing>
          <wp:inline xmlns:a="http://schemas.openxmlformats.org/drawingml/2006/main" xmlns:pic="http://schemas.openxmlformats.org/drawingml/2006/picture">
            <wp:extent cx="4572000" cy="886278"/>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886278"/>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r>
        <w:t xml:space="preserve"/>
      </w:r>
      <w:r>
        <w:drawing>
          <wp:inline xmlns:a="http://schemas.openxmlformats.org/drawingml/2006/main" xmlns:pic="http://schemas.openxmlformats.org/drawingml/2006/picture">
            <wp:extent cx="4572000" cy="1105180"/>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105180"/>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r>
        <w:t xml:space="preserve"/>
      </w:r>
      <w:r>
        <w:drawing>
          <wp:inline xmlns:a="http://schemas.openxmlformats.org/drawingml/2006/main" xmlns:pic="http://schemas.openxmlformats.org/drawingml/2006/picture">
            <wp:extent cx="4572000" cy="1411111"/>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2"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r>
        <w:t xml:space="preserve"/>
      </w:r>
      <w:r>
        <w:drawing>
          <wp:inline xmlns:a="http://schemas.openxmlformats.org/drawingml/2006/main" xmlns:pic="http://schemas.openxmlformats.org/drawingml/2006/picture">
            <wp:extent cx="4572000" cy="1118639"/>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118639"/>
                    </a:xfrm>
                    <a:prstGeom prst="rect"/>
                  </pic:spPr>
                </pic:pic>
              </a:graphicData>
            </a:graphic>
          </wp:inline>
        </w:drawing>
      </w:r>
      <w:r>
        <w:t xml:space="preserve"> </w:t>
      </w:r>
    </w:p>
    <w:p w14:paraId="5BE7234A" w14:textId="1C04DDB2" w:rsidR="00AF6F3E" w:rsidRDefault="009267E7" w:rsidP="005A17EA">
      <w:r>
        <w:t xml:space="preserve"/>
      </w:r>
      <w:r>
        <w:drawing>
          <wp:inline xmlns:a="http://schemas.openxmlformats.org/drawingml/2006/main" xmlns:pic="http://schemas.openxmlformats.org/drawingml/2006/picture">
            <wp:extent cx="4572000" cy="1274164"/>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r>
        <w:t xml:space="preserve"/>
      </w:r>
      <w:r>
        <w:drawing>
          <wp:inline xmlns:a="http://schemas.openxmlformats.org/drawingml/2006/main" xmlns:pic="http://schemas.openxmlformats.org/drawingml/2006/picture">
            <wp:extent cx="4572000" cy="1274164"/>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1274164"/>
                    </a:xfrm>
                    <a:prstGeom prst="rect"/>
                  </pic:spPr>
                </pic:pic>
              </a:graphicData>
            </a:graphic>
          </wp:inline>
        </w:drawing>
      </w:r>
      <w:r>
        <w:t xml:space="preserve"> </w:t>
      </w:r>
    </w:p>
    <w:p w14:paraId="36DE9018" w14:textId="48141B87" w:rsidR="00C759C6" w:rsidRDefault="00B6517A" w:rsidP="005A17EA">
      <w:r>
        <w:t xml:space="preserve"/>
      </w:r>
      <w:r>
        <w:drawing>
          <wp:inline xmlns:a="http://schemas.openxmlformats.org/drawingml/2006/main" xmlns:pic="http://schemas.openxmlformats.org/drawingml/2006/picture">
            <wp:extent cx="4572000" cy="851105"/>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851105"/>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338.42</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r>
        <w:t xml:space="preserve"/>
      </w:r>
      <w:r>
        <w:drawing>
          <wp:inline xmlns:a="http://schemas.openxmlformats.org/drawingml/2006/main" xmlns:pic="http://schemas.openxmlformats.org/drawingml/2006/picture">
            <wp:extent cx="4572000" cy="738909"/>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738909"/>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r>
        <w:t xml:space="preserve"/>
      </w:r>
      <w:r>
        <w:drawing>
          <wp:inline xmlns:a="http://schemas.openxmlformats.org/drawingml/2006/main" xmlns:pic="http://schemas.openxmlformats.org/drawingml/2006/picture">
            <wp:extent cx="4572000" cy="1004327"/>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004327"/>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66482"/>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766482"/>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710738"/>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710738"/>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1959429"/>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959429"/>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067339"/>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2067339"/>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3"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4"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5"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6"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9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8"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099"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0"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0A8E" w14:textId="77777777" w:rsidR="009335B2" w:rsidRDefault="009335B2" w:rsidP="0050557C">
      <w:pPr>
        <w:spacing w:after="0"/>
      </w:pPr>
      <w:r>
        <w:separator/>
      </w:r>
    </w:p>
  </w:endnote>
  <w:endnote w:type="continuationSeparator" w:id="0">
    <w:p w14:paraId="08D07083" w14:textId="77777777" w:rsidR="009335B2" w:rsidRDefault="009335B2"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ABF8D" w14:textId="77777777" w:rsidR="009335B2" w:rsidRDefault="009335B2" w:rsidP="0050557C">
      <w:pPr>
        <w:spacing w:after="0"/>
      </w:pPr>
      <w:r>
        <w:separator/>
      </w:r>
    </w:p>
  </w:footnote>
  <w:footnote w:type="continuationSeparator" w:id="0">
    <w:p w14:paraId="739BA0CA" w14:textId="77777777" w:rsidR="009335B2" w:rsidRDefault="009335B2"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86DE6"/>
    <w:rsid w:val="00491043"/>
    <w:rsid w:val="00491D87"/>
    <w:rsid w:val="00492608"/>
    <w:rsid w:val="004E0FD8"/>
    <w:rsid w:val="004F2280"/>
    <w:rsid w:val="005055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105831"/>
    <w:rsid w:val="0017727F"/>
    <w:rsid w:val="00223BA7"/>
    <w:rsid w:val="00286F68"/>
    <w:rsid w:val="002A0B7D"/>
    <w:rsid w:val="003035D2"/>
    <w:rsid w:val="00324C0F"/>
    <w:rsid w:val="00401ECA"/>
    <w:rsid w:val="0040419B"/>
    <w:rsid w:val="00466686"/>
    <w:rsid w:val="004F2280"/>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42</Pages>
  <Words>4471</Words>
  <Characters>25489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159</cp:revision>
  <dcterms:created xsi:type="dcterms:W3CDTF">2024-04-25T06:16:00Z</dcterms:created>
  <dcterms:modified xsi:type="dcterms:W3CDTF">2025-06-26T08:50:00Z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